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37DE" w:rsidRDefault="001037DE" w:rsidP="003254D9">
      <w:pPr>
        <w:keepNext/>
      </w:pPr>
      <w:r w:rsidRPr="00EE0C9E">
        <w:rPr>
          <w:noProof/>
          <w:highlight w:val="yellow"/>
        </w:rPr>
        <w:drawing>
          <wp:inline distT="0" distB="0" distL="0" distR="0" wp14:anchorId="61388E61" wp14:editId="51BB06F0">
            <wp:extent cx="5943600" cy="424448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0800000">
                      <a:off x="0" y="0"/>
                      <a:ext cx="5943600" cy="4244480"/>
                    </a:xfrm>
                    <a:prstGeom prst="rect">
                      <a:avLst/>
                    </a:prstGeom>
                    <a:noFill/>
                    <a:ln>
                      <a:noFill/>
                    </a:ln>
                  </pic:spPr>
                </pic:pic>
              </a:graphicData>
            </a:graphic>
          </wp:inline>
        </w:drawing>
      </w:r>
    </w:p>
    <w:p w:rsidR="001037DE" w:rsidRDefault="001037DE">
      <w:r>
        <w:t>^</w:t>
      </w:r>
      <w:r w:rsidR="003254D9">
        <w:t xml:space="preserve"> </w:t>
      </w:r>
      <w:r>
        <w:t>N</w:t>
      </w:r>
      <w:r w:rsidR="003254D9">
        <w:t xml:space="preserve">orth </w:t>
      </w:r>
      <w:proofErr w:type="gramStart"/>
      <w:r w:rsidR="003254D9">
        <w:t>^</w:t>
      </w:r>
      <w:r w:rsidR="00700A38">
        <w:t xml:space="preserve"> .</w:t>
      </w:r>
      <w:proofErr w:type="gramEnd"/>
      <w:r w:rsidR="00700A38">
        <w:t xml:space="preserve">   The APNs are </w:t>
      </w:r>
      <w:r w:rsidR="00700A38" w:rsidRPr="00910E11">
        <w:t>061-240-18</w:t>
      </w:r>
      <w:r w:rsidR="00700A38">
        <w:t xml:space="preserve"> west side</w:t>
      </w:r>
      <w:r w:rsidR="00700A38" w:rsidRPr="00910E11">
        <w:t>, 061-240-19</w:t>
      </w:r>
      <w:r w:rsidR="00700A38">
        <w:t xml:space="preserve"> east side of block 3.</w:t>
      </w:r>
    </w:p>
    <w:p w:rsidR="00F92987" w:rsidRDefault="00CD757B">
      <w:r>
        <w:t>June- September</w:t>
      </w:r>
      <w:r w:rsidR="00F92987">
        <w:t xml:space="preserve"> 2019</w:t>
      </w:r>
    </w:p>
    <w:p w:rsidR="00612D78" w:rsidRDefault="00EE0C9E">
      <w:r>
        <w:t xml:space="preserve">The newly planted almond trees </w:t>
      </w:r>
      <w:r w:rsidR="00597AFE">
        <w:t>B</w:t>
      </w:r>
      <w:r>
        <w:t xml:space="preserve">lock 3, in center of the </w:t>
      </w:r>
      <w:r w:rsidR="00665BD0">
        <w:t>photo above</w:t>
      </w:r>
      <w:r>
        <w:t>.</w:t>
      </w:r>
      <w:r w:rsidR="00700A38">
        <w:t xml:space="preserve"> Block 3 is 175 Ac. </w:t>
      </w:r>
      <w:r w:rsidR="00720981">
        <w:t>w</w:t>
      </w:r>
      <w:r w:rsidR="00700A38">
        <w:t>ith 283 rows of trees</w:t>
      </w:r>
      <w:r w:rsidR="00720981">
        <w:t>.</w:t>
      </w:r>
      <w:r>
        <w:t xml:space="preserve"> </w:t>
      </w:r>
      <w:r w:rsidR="00700A38">
        <w:t xml:space="preserve"> </w:t>
      </w:r>
      <w:r w:rsidR="00665BD0">
        <w:t>A hedgerow</w:t>
      </w:r>
      <w:r w:rsidR="00720981">
        <w:t xml:space="preserve"> of 1.44 Ac.</w:t>
      </w:r>
      <w:r w:rsidR="00665BD0">
        <w:t xml:space="preserve"> will be planted on the nort</w:t>
      </w:r>
      <w:r w:rsidR="00720981">
        <w:t xml:space="preserve">h and south of the rows. </w:t>
      </w:r>
      <w:r w:rsidR="008C0942">
        <w:t xml:space="preserve">With 2 plants at the end of the rows there will be 1132 plants in the hedgerow. </w:t>
      </w:r>
      <w:r w:rsidR="00665BD0">
        <w:t xml:space="preserve"> </w:t>
      </w:r>
      <w:r w:rsidR="00720981">
        <w:t>I</w:t>
      </w:r>
      <w:r w:rsidR="00ED394E">
        <w:t>ncorporate</w:t>
      </w:r>
      <w:r w:rsidR="00597AFE">
        <w:t>d</w:t>
      </w:r>
      <w:r w:rsidR="00665BD0">
        <w:t xml:space="preserve"> with the</w:t>
      </w:r>
      <w:r w:rsidR="00720981">
        <w:t xml:space="preserve"> existing</w:t>
      </w:r>
      <w:r w:rsidR="00665BD0">
        <w:t xml:space="preserve"> irrigation until they are able to thrive on their own</w:t>
      </w:r>
      <w:r w:rsidR="00ED394E">
        <w:t xml:space="preserve"> without supplemental water</w:t>
      </w:r>
      <w:r w:rsidR="00665BD0">
        <w:t>.</w:t>
      </w:r>
      <w:r>
        <w:t xml:space="preserve"> </w:t>
      </w:r>
      <w:r w:rsidR="00700A38">
        <w:t xml:space="preserve"> There will be a shutoff valve to re</w:t>
      </w:r>
      <w:r w:rsidR="00597AFE">
        <w:t>-</w:t>
      </w:r>
      <w:r w:rsidR="00700A38">
        <w:t xml:space="preserve">establish the </w:t>
      </w:r>
      <w:r w:rsidR="00597AFE">
        <w:t>i</w:t>
      </w:r>
      <w:r w:rsidR="00700A38">
        <w:t>rrigation as needed</w:t>
      </w:r>
      <w:r w:rsidR="004B4070">
        <w:t xml:space="preserve">. Planting will </w:t>
      </w:r>
      <w:r w:rsidR="00CD757B">
        <w:t>take place in the spring of 20</w:t>
      </w:r>
      <w:r w:rsidR="00597AFE">
        <w:t>20</w:t>
      </w:r>
      <w:r w:rsidR="004B4070">
        <w:t xml:space="preserve"> taking advantage of the rainfall. The ordering of the plants will be done in </w:t>
      </w:r>
      <w:r w:rsidR="00720981">
        <w:t>July</w:t>
      </w:r>
      <w:r w:rsidR="004B4070">
        <w:t xml:space="preserve"> 2019 along with the after the soil samples results are in. </w:t>
      </w:r>
      <w:r w:rsidR="00F92987">
        <w:t>Soil samples taken every July in the same aria every time, and the parameters fallowed with in the HSP soil sample protocol. We will be using Fruit Growers lab in Chico for the testing. (</w:t>
      </w:r>
      <w:hyperlink r:id="rId5" w:history="1">
        <w:r w:rsidR="00F92987" w:rsidRPr="00844A7C">
          <w:rPr>
            <w:rStyle w:val="Hyperlink"/>
          </w:rPr>
          <w:t>https://www.cdfa.ca.gov/oefi/healthysoils/docs/2018-HSPIncentives_SoilSampling.pdf</w:t>
        </w:r>
      </w:hyperlink>
      <w:r w:rsidR="00F92987">
        <w:t xml:space="preserve">) </w:t>
      </w:r>
    </w:p>
    <w:p w:rsidR="005E1CCF" w:rsidRDefault="004B4070">
      <w:r>
        <w:t>For technical reference Bradley Baugher will be contacting</w:t>
      </w:r>
      <w:r w:rsidR="00E20E66">
        <w:t xml:space="preserve"> </w:t>
      </w:r>
      <w:proofErr w:type="gramStart"/>
      <w:r w:rsidR="00E20E66">
        <w:t xml:space="preserve">CDFA, </w:t>
      </w:r>
      <w:r>
        <w:t xml:space="preserve"> Xerces</w:t>
      </w:r>
      <w:proofErr w:type="gramEnd"/>
      <w:r>
        <w:t>, Cal flora, NRCS and the locale Ag extension for consultation</w:t>
      </w:r>
      <w:r w:rsidR="00F92987">
        <w:t xml:space="preserve"> and expectations</w:t>
      </w:r>
      <w:r>
        <w:t xml:space="preserve"> on the project. </w:t>
      </w:r>
      <w:r w:rsidR="007A354D">
        <w:t xml:space="preserve"> A quarterly inspection will be done to inshore the vitality of the plants. For the first year a more frequent inspection will be done.  When plants are need of being replaced for replanting in spring and ordered</w:t>
      </w:r>
      <w:r w:rsidR="0049552D">
        <w:t xml:space="preserve"> in July. </w:t>
      </w:r>
    </w:p>
    <w:p w:rsidR="00CD757B" w:rsidRDefault="00F92987">
      <w:r>
        <w:lastRenderedPageBreak/>
        <w:t xml:space="preserve">Site preparation and design will be </w:t>
      </w:r>
      <w:r w:rsidR="00CD757B">
        <w:t>implemented</w:t>
      </w:r>
      <w:r>
        <w:t xml:space="preserve"> at this time. Weed management and treatment done as needed</w:t>
      </w:r>
      <w:r w:rsidR="00CD757B">
        <w:t>. Irrigation checked working properly.</w:t>
      </w:r>
      <w:r w:rsidR="00ED394E">
        <w:t xml:space="preserve"> </w:t>
      </w:r>
      <w:r w:rsidR="00CD757B">
        <w:t xml:space="preserve"> Risk assessment for Pest, pesticide, herbicides, </w:t>
      </w:r>
      <w:r w:rsidR="00ED394E">
        <w:t xml:space="preserve">weeds, </w:t>
      </w:r>
      <w:r w:rsidR="00CD757B">
        <w:t>and</w:t>
      </w:r>
      <w:r w:rsidR="00ED394E">
        <w:t>,</w:t>
      </w:r>
      <w:r w:rsidR="00CD757B">
        <w:t xml:space="preserve"> or any other potential threatening variables.</w:t>
      </w:r>
    </w:p>
    <w:p w:rsidR="00CD757B" w:rsidRDefault="00CD757B">
      <w:r>
        <w:t xml:space="preserve">September – October </w:t>
      </w:r>
      <w:r w:rsidR="008C0942">
        <w:t>201</w:t>
      </w:r>
      <w:r>
        <w:t xml:space="preserve">9 </w:t>
      </w:r>
    </w:p>
    <w:p w:rsidR="00CD757B" w:rsidRDefault="00CD757B">
      <w:r>
        <w:t xml:space="preserve">Begin planting Hedgerow on prepped sites. Two plants will be installed at the end of every row to </w:t>
      </w:r>
      <w:r w:rsidR="00326949">
        <w:t xml:space="preserve">provide the best results for the intended symbiotic relationship between the </w:t>
      </w:r>
      <w:r w:rsidR="00597AFE">
        <w:t>a</w:t>
      </w:r>
      <w:bookmarkStart w:id="0" w:name="_GoBack"/>
      <w:bookmarkEnd w:id="0"/>
      <w:r w:rsidR="00326949">
        <w:t xml:space="preserve">lmond trees and the diversity provided by the Hedgerow. Irrigation will be checked </w:t>
      </w:r>
      <w:r w:rsidR="007416B6">
        <w:t>regularly</w:t>
      </w:r>
      <w:r w:rsidR="00326949">
        <w:t xml:space="preserve"> at this point moving </w:t>
      </w:r>
      <w:r w:rsidR="007416B6">
        <w:t>forward</w:t>
      </w:r>
      <w:r w:rsidR="00326949">
        <w:t xml:space="preserve"> </w:t>
      </w:r>
      <w:r w:rsidR="007416B6">
        <w:t>insuring that they are not being under or over watered.</w:t>
      </w:r>
    </w:p>
    <w:p w:rsidR="007416B6" w:rsidRDefault="007416B6">
      <w:r>
        <w:t>January 20</w:t>
      </w:r>
      <w:r w:rsidR="008C0942">
        <w:t>20</w:t>
      </w:r>
      <w:r>
        <w:t>-</w:t>
      </w:r>
      <w:r w:rsidR="008C0942">
        <w:t xml:space="preserve">and </w:t>
      </w:r>
      <w:r w:rsidR="006F0385">
        <w:t xml:space="preserve">ongoing, </w:t>
      </w:r>
      <w:r w:rsidR="008C0942">
        <w:t xml:space="preserve">forward </w:t>
      </w:r>
    </w:p>
    <w:p w:rsidR="007416B6" w:rsidRDefault="009C1CC7">
      <w:r>
        <w:t>Assessment</w:t>
      </w:r>
      <w:r w:rsidR="007416B6">
        <w:t xml:space="preserve"> of </w:t>
      </w:r>
      <w:r>
        <w:t>Hedgerow</w:t>
      </w:r>
      <w:r w:rsidR="007416B6">
        <w:t xml:space="preserve"> </w:t>
      </w:r>
      <w:r>
        <w:t>project’s</w:t>
      </w:r>
      <w:r w:rsidR="007416B6">
        <w:t xml:space="preserve"> effects</w:t>
      </w:r>
      <w:r w:rsidR="008C0942">
        <w:t>,</w:t>
      </w:r>
      <w:r w:rsidR="007416B6">
        <w:t xml:space="preserve"> and </w:t>
      </w:r>
      <w:r w:rsidR="008C0942">
        <w:t xml:space="preserve">vitality. </w:t>
      </w:r>
      <w:r w:rsidR="007416B6">
        <w:t xml:space="preserve">Soil </w:t>
      </w:r>
      <w:r>
        <w:t>testing</w:t>
      </w:r>
      <w:r w:rsidR="007416B6">
        <w:t xml:space="preserve"> in </w:t>
      </w:r>
      <w:r>
        <w:t>vicinity</w:t>
      </w:r>
      <w:r w:rsidR="007416B6">
        <w:t xml:space="preserve"> of </w:t>
      </w:r>
      <w:r>
        <w:t>previously</w:t>
      </w:r>
      <w:r w:rsidR="007416B6">
        <w:t xml:space="preserve"> </w:t>
      </w:r>
      <w:r>
        <w:t>tested</w:t>
      </w:r>
      <w:r w:rsidR="007416B6">
        <w:t xml:space="preserve"> for any </w:t>
      </w:r>
      <w:r>
        <w:t>potential</w:t>
      </w:r>
      <w:r w:rsidR="007416B6">
        <w:t xml:space="preserve"> </w:t>
      </w:r>
      <w:r>
        <w:t>improvements</w:t>
      </w:r>
      <w:r w:rsidR="007416B6">
        <w:t xml:space="preserve"> in soils </w:t>
      </w:r>
      <w:r>
        <w:t>activity</w:t>
      </w:r>
      <w:r w:rsidR="007416B6">
        <w:t>.</w:t>
      </w:r>
      <w:r w:rsidR="008C0942" w:rsidRPr="008C0942">
        <w:t xml:space="preserve"> </w:t>
      </w:r>
      <w:r w:rsidR="008C0942">
        <w:t xml:space="preserve">Soil samples taken every July in the same aria every time, and the parameters fallowed with in the HSP soil sample protocol. </w:t>
      </w:r>
      <w:r w:rsidR="007416B6">
        <w:t xml:space="preserve"> </w:t>
      </w:r>
      <w:r>
        <w:t xml:space="preserve">Observation of Insects activity levels and potential befits and detriments. </w:t>
      </w:r>
      <w:r w:rsidR="00ED394E">
        <w:t xml:space="preserve">Consult with all applicable institutions for site improvement and maintenance. </w:t>
      </w:r>
      <w:r>
        <w:t>Count and order replacement plants</w:t>
      </w:r>
      <w:r w:rsidR="00ED394E">
        <w:t xml:space="preserve"> for replanting. This will be an ongoing project continued yearly.</w:t>
      </w:r>
    </w:p>
    <w:p w:rsidR="005E1CCF" w:rsidRDefault="005E1CCF" w:rsidP="005E1CCF"/>
    <w:p w:rsidR="001037DE" w:rsidRDefault="005E1CCF" w:rsidP="005E1CCF">
      <w:r w:rsidRPr="008C0942">
        <w:t>There will be 2 plants at the end of each row consisting of the</w:t>
      </w:r>
      <w:r w:rsidRPr="008C0942">
        <w:rPr>
          <w:rFonts w:cs="Arial"/>
          <w:color w:val="222222"/>
          <w:shd w:val="clear" w:color="auto" w:fill="FFFFFF"/>
        </w:rPr>
        <w:t> following</w:t>
      </w:r>
      <w:r w:rsidR="00ED394E" w:rsidRPr="008C0942">
        <w:rPr>
          <w:rFonts w:cs="Arial"/>
          <w:color w:val="222222"/>
          <w:shd w:val="clear" w:color="auto" w:fill="FFFFFF"/>
        </w:rPr>
        <w:t xml:space="preserve"> currently proposed native plants</w:t>
      </w:r>
      <w:r w:rsidRPr="008C0942">
        <w:rPr>
          <w:rFonts w:cs="Arial"/>
          <w:color w:val="222222"/>
          <w:shd w:val="clear" w:color="auto" w:fill="FFFFFF"/>
        </w:rPr>
        <w:t>: Coffeeberry (</w:t>
      </w:r>
      <w:r w:rsidRPr="008C0942">
        <w:rPr>
          <w:rFonts w:cs="Arial"/>
          <w:i/>
          <w:iCs/>
          <w:color w:val="222222"/>
          <w:shd w:val="clear" w:color="auto" w:fill="FFFFFF"/>
        </w:rPr>
        <w:t xml:space="preserve">Frangula </w:t>
      </w:r>
      <w:proofErr w:type="spellStart"/>
      <w:r w:rsidRPr="008C0942">
        <w:rPr>
          <w:rFonts w:cs="Arial"/>
          <w:i/>
          <w:iCs/>
          <w:color w:val="222222"/>
          <w:shd w:val="clear" w:color="auto" w:fill="FFFFFF"/>
        </w:rPr>
        <w:t>californica</w:t>
      </w:r>
      <w:proofErr w:type="spellEnd"/>
      <w:r w:rsidRPr="008C0942">
        <w:rPr>
          <w:rFonts w:cs="Arial"/>
          <w:color w:val="222222"/>
          <w:shd w:val="clear" w:color="auto" w:fill="FFFFFF"/>
        </w:rPr>
        <w:t>), Toyon (</w:t>
      </w:r>
      <w:proofErr w:type="spellStart"/>
      <w:r w:rsidRPr="008C0942">
        <w:rPr>
          <w:rFonts w:cs="Arial"/>
          <w:i/>
          <w:iCs/>
          <w:color w:val="222222"/>
          <w:shd w:val="clear" w:color="auto" w:fill="FFFFFF"/>
        </w:rPr>
        <w:t>Heteromeles</w:t>
      </w:r>
      <w:proofErr w:type="spellEnd"/>
      <w:r w:rsidRPr="008C0942">
        <w:rPr>
          <w:rFonts w:cs="Arial"/>
          <w:i/>
          <w:iCs/>
          <w:color w:val="222222"/>
          <w:shd w:val="clear" w:color="auto" w:fill="FFFFFF"/>
        </w:rPr>
        <w:t xml:space="preserve"> </w:t>
      </w:r>
      <w:proofErr w:type="spellStart"/>
      <w:r w:rsidRPr="008C0942">
        <w:rPr>
          <w:rFonts w:cs="Arial"/>
          <w:i/>
          <w:iCs/>
          <w:color w:val="222222"/>
          <w:shd w:val="clear" w:color="auto" w:fill="FFFFFF"/>
        </w:rPr>
        <w:t>arbutifolia</w:t>
      </w:r>
      <w:proofErr w:type="spellEnd"/>
      <w:r w:rsidRPr="008C0942">
        <w:rPr>
          <w:rFonts w:cs="Arial"/>
          <w:color w:val="222222"/>
          <w:shd w:val="clear" w:color="auto" w:fill="FFFFFF"/>
        </w:rPr>
        <w:t>), California rose (</w:t>
      </w:r>
      <w:r w:rsidRPr="008C0942">
        <w:rPr>
          <w:rFonts w:cs="Arial"/>
          <w:i/>
          <w:iCs/>
          <w:color w:val="222222"/>
          <w:shd w:val="clear" w:color="auto" w:fill="FFFFFF"/>
        </w:rPr>
        <w:t xml:space="preserve">Rosa </w:t>
      </w:r>
      <w:proofErr w:type="spellStart"/>
      <w:r w:rsidRPr="008C0942">
        <w:rPr>
          <w:rFonts w:cs="Arial"/>
          <w:i/>
          <w:iCs/>
          <w:color w:val="222222"/>
          <w:shd w:val="clear" w:color="auto" w:fill="FFFFFF"/>
        </w:rPr>
        <w:t>californica</w:t>
      </w:r>
      <w:proofErr w:type="spellEnd"/>
      <w:r w:rsidRPr="008C0942">
        <w:rPr>
          <w:rFonts w:cs="Arial"/>
          <w:color w:val="222222"/>
          <w:shd w:val="clear" w:color="auto" w:fill="FFFFFF"/>
        </w:rPr>
        <w:t>), Silver Bush Lupine (</w:t>
      </w:r>
      <w:proofErr w:type="spellStart"/>
      <w:r w:rsidRPr="008C0942">
        <w:rPr>
          <w:rFonts w:cs="Arial"/>
          <w:i/>
          <w:iCs/>
          <w:color w:val="222222"/>
          <w:shd w:val="clear" w:color="auto" w:fill="FFFFFF"/>
        </w:rPr>
        <w:t>Lupinus</w:t>
      </w:r>
      <w:proofErr w:type="spellEnd"/>
      <w:r w:rsidRPr="008C0942">
        <w:rPr>
          <w:rFonts w:cs="Arial"/>
          <w:i/>
          <w:iCs/>
          <w:color w:val="222222"/>
          <w:shd w:val="clear" w:color="auto" w:fill="FFFFFF"/>
        </w:rPr>
        <w:t xml:space="preserve"> </w:t>
      </w:r>
      <w:proofErr w:type="spellStart"/>
      <w:r w:rsidRPr="008C0942">
        <w:rPr>
          <w:rFonts w:cs="Arial"/>
          <w:i/>
          <w:iCs/>
          <w:color w:val="222222"/>
          <w:shd w:val="clear" w:color="auto" w:fill="FFFFFF"/>
        </w:rPr>
        <w:t>albifrons</w:t>
      </w:r>
      <w:proofErr w:type="spellEnd"/>
      <w:r w:rsidRPr="008C0942">
        <w:rPr>
          <w:rFonts w:cs="Arial"/>
          <w:color w:val="222222"/>
          <w:shd w:val="clear" w:color="auto" w:fill="FFFFFF"/>
        </w:rPr>
        <w:t xml:space="preserve">), </w:t>
      </w:r>
      <w:proofErr w:type="spellStart"/>
      <w:r w:rsidRPr="008C0942">
        <w:rPr>
          <w:rFonts w:cs="Arial"/>
          <w:color w:val="222222"/>
          <w:shd w:val="clear" w:color="auto" w:fill="FFFFFF"/>
        </w:rPr>
        <w:t>Whiteleaf</w:t>
      </w:r>
      <w:proofErr w:type="spellEnd"/>
      <w:r w:rsidRPr="008C0942">
        <w:rPr>
          <w:rFonts w:cs="Arial"/>
          <w:color w:val="222222"/>
          <w:shd w:val="clear" w:color="auto" w:fill="FFFFFF"/>
        </w:rPr>
        <w:t xml:space="preserve"> manzanita (</w:t>
      </w:r>
      <w:r w:rsidRPr="008C0942">
        <w:rPr>
          <w:rFonts w:cs="Arial"/>
          <w:i/>
          <w:iCs/>
          <w:color w:val="222222"/>
          <w:shd w:val="clear" w:color="auto" w:fill="FFFFFF"/>
        </w:rPr>
        <w:t xml:space="preserve">Arctostaphylos </w:t>
      </w:r>
      <w:proofErr w:type="spellStart"/>
      <w:r w:rsidRPr="008C0942">
        <w:rPr>
          <w:rFonts w:cs="Arial"/>
          <w:i/>
          <w:iCs/>
          <w:color w:val="222222"/>
          <w:shd w:val="clear" w:color="auto" w:fill="FFFFFF"/>
        </w:rPr>
        <w:t>viscida</w:t>
      </w:r>
      <w:proofErr w:type="spellEnd"/>
      <w:r w:rsidRPr="008C0942">
        <w:rPr>
          <w:rFonts w:cs="Arial"/>
          <w:color w:val="222222"/>
          <w:shd w:val="clear" w:color="auto" w:fill="FFFFFF"/>
        </w:rPr>
        <w:t>), Oregon grape (</w:t>
      </w:r>
      <w:r w:rsidRPr="008C0942">
        <w:rPr>
          <w:rFonts w:cs="Arial"/>
          <w:i/>
          <w:iCs/>
          <w:color w:val="222222"/>
          <w:shd w:val="clear" w:color="auto" w:fill="FFFFFF"/>
        </w:rPr>
        <w:t xml:space="preserve">Mahonia </w:t>
      </w:r>
      <w:proofErr w:type="spellStart"/>
      <w:r w:rsidRPr="008C0942">
        <w:rPr>
          <w:rFonts w:cs="Arial"/>
          <w:i/>
          <w:iCs/>
          <w:color w:val="222222"/>
          <w:shd w:val="clear" w:color="auto" w:fill="FFFFFF"/>
        </w:rPr>
        <w:t>aquifolium</w:t>
      </w:r>
      <w:proofErr w:type="spellEnd"/>
      <w:r w:rsidRPr="008C0942">
        <w:rPr>
          <w:rFonts w:cs="Arial"/>
          <w:color w:val="222222"/>
          <w:shd w:val="clear" w:color="auto" w:fill="FFFFFF"/>
        </w:rPr>
        <w:t xml:space="preserve">), </w:t>
      </w:r>
      <w:r w:rsidR="00C35180">
        <w:rPr>
          <w:rFonts w:cs="Arial"/>
          <w:color w:val="222222"/>
          <w:shd w:val="clear" w:color="auto" w:fill="FFFFFF"/>
        </w:rPr>
        <w:t>Flowering current</w:t>
      </w:r>
      <w:r w:rsidRPr="008C0942">
        <w:rPr>
          <w:rFonts w:cs="Arial"/>
          <w:color w:val="222222"/>
          <w:shd w:val="clear" w:color="auto" w:fill="FFFFFF"/>
        </w:rPr>
        <w:t xml:space="preserve"> (</w:t>
      </w:r>
      <w:proofErr w:type="spellStart"/>
      <w:r w:rsidRPr="008C0942">
        <w:rPr>
          <w:rFonts w:cs="Arial"/>
          <w:i/>
          <w:iCs/>
          <w:color w:val="222222"/>
          <w:shd w:val="clear" w:color="auto" w:fill="FFFFFF"/>
        </w:rPr>
        <w:t>Ribes</w:t>
      </w:r>
      <w:proofErr w:type="spellEnd"/>
      <w:r w:rsidRPr="008C0942">
        <w:rPr>
          <w:rFonts w:cs="Arial"/>
          <w:i/>
          <w:iCs/>
          <w:color w:val="222222"/>
          <w:shd w:val="clear" w:color="auto" w:fill="FFFFFF"/>
        </w:rPr>
        <w:t xml:space="preserve"> </w:t>
      </w:r>
      <w:proofErr w:type="spellStart"/>
      <w:r w:rsidRPr="008C0942">
        <w:rPr>
          <w:rFonts w:cs="Arial"/>
          <w:i/>
          <w:iCs/>
          <w:color w:val="222222"/>
          <w:shd w:val="clear" w:color="auto" w:fill="FFFFFF"/>
        </w:rPr>
        <w:t>sanguineum</w:t>
      </w:r>
      <w:proofErr w:type="spellEnd"/>
      <w:r w:rsidRPr="008C0942">
        <w:rPr>
          <w:rFonts w:cs="Arial"/>
          <w:color w:val="222222"/>
          <w:shd w:val="clear" w:color="auto" w:fill="FFFFFF"/>
        </w:rPr>
        <w:t>), and White Sage (</w:t>
      </w:r>
      <w:r w:rsidRPr="008C0942">
        <w:rPr>
          <w:rFonts w:cs="Arial"/>
          <w:i/>
          <w:iCs/>
          <w:color w:val="222222"/>
          <w:shd w:val="clear" w:color="auto" w:fill="FFFFFF"/>
        </w:rPr>
        <w:t xml:space="preserve">Salvia </w:t>
      </w:r>
      <w:proofErr w:type="spellStart"/>
      <w:r w:rsidRPr="008C0942">
        <w:rPr>
          <w:rFonts w:cs="Arial"/>
          <w:i/>
          <w:iCs/>
          <w:color w:val="222222"/>
          <w:shd w:val="clear" w:color="auto" w:fill="FFFFFF"/>
        </w:rPr>
        <w:t>apiana</w:t>
      </w:r>
      <w:proofErr w:type="spellEnd"/>
      <w:r w:rsidRPr="008C0942">
        <w:rPr>
          <w:rFonts w:cs="Arial"/>
          <w:i/>
          <w:iCs/>
          <w:color w:val="222222"/>
          <w:shd w:val="clear" w:color="auto" w:fill="FFFFFF"/>
        </w:rPr>
        <w:t>)</w:t>
      </w:r>
      <w:r>
        <w:rPr>
          <w:noProof/>
        </w:rPr>
        <w:t xml:space="preserve"> </w:t>
      </w:r>
      <w:r w:rsidR="0049243F">
        <w:rPr>
          <w:noProof/>
        </w:rPr>
        <w:drawing>
          <wp:inline distT="0" distB="0" distL="0" distR="0" wp14:anchorId="45B7B844" wp14:editId="3424EB9C">
            <wp:extent cx="5943600" cy="15481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1548130"/>
                    </a:xfrm>
                    <a:prstGeom prst="rect">
                      <a:avLst/>
                    </a:prstGeom>
                  </pic:spPr>
                </pic:pic>
              </a:graphicData>
            </a:graphic>
          </wp:inline>
        </w:drawing>
      </w:r>
    </w:p>
    <w:p w:rsidR="0049243F" w:rsidRDefault="0049243F">
      <w:r>
        <w:rPr>
          <w:noProof/>
        </w:rPr>
        <w:drawing>
          <wp:inline distT="0" distB="0" distL="0" distR="0" wp14:anchorId="44B28446" wp14:editId="3DC3F8DB">
            <wp:extent cx="5943600" cy="14401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1440180"/>
                    </a:xfrm>
                    <a:prstGeom prst="rect">
                      <a:avLst/>
                    </a:prstGeom>
                  </pic:spPr>
                </pic:pic>
              </a:graphicData>
            </a:graphic>
          </wp:inline>
        </w:drawing>
      </w:r>
    </w:p>
    <w:p w:rsidR="0049243F" w:rsidRDefault="0049243F">
      <w:r>
        <w:rPr>
          <w:noProof/>
        </w:rPr>
        <w:lastRenderedPageBreak/>
        <w:drawing>
          <wp:inline distT="0" distB="0" distL="0" distR="0" wp14:anchorId="5D1B4D88" wp14:editId="1B3E9189">
            <wp:extent cx="5943600" cy="1544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1544320"/>
                    </a:xfrm>
                    <a:prstGeom prst="rect">
                      <a:avLst/>
                    </a:prstGeom>
                  </pic:spPr>
                </pic:pic>
              </a:graphicData>
            </a:graphic>
          </wp:inline>
        </w:drawing>
      </w:r>
    </w:p>
    <w:p w:rsidR="0049243F" w:rsidRDefault="00612D78">
      <w:r>
        <w:rPr>
          <w:noProof/>
        </w:rPr>
        <w:drawing>
          <wp:inline distT="0" distB="0" distL="0" distR="0" wp14:anchorId="3B051B96" wp14:editId="74E0F212">
            <wp:extent cx="5943600" cy="16319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1631950"/>
                    </a:xfrm>
                    <a:prstGeom prst="rect">
                      <a:avLst/>
                    </a:prstGeom>
                  </pic:spPr>
                </pic:pic>
              </a:graphicData>
            </a:graphic>
          </wp:inline>
        </w:drawing>
      </w:r>
    </w:p>
    <w:p w:rsidR="00612D78" w:rsidRDefault="00612D78">
      <w:r>
        <w:rPr>
          <w:noProof/>
        </w:rPr>
        <w:drawing>
          <wp:inline distT="0" distB="0" distL="0" distR="0" wp14:anchorId="2EE59C90" wp14:editId="4A14C19A">
            <wp:extent cx="5943600" cy="15894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1589405"/>
                    </a:xfrm>
                    <a:prstGeom prst="rect">
                      <a:avLst/>
                    </a:prstGeom>
                  </pic:spPr>
                </pic:pic>
              </a:graphicData>
            </a:graphic>
          </wp:inline>
        </w:drawing>
      </w:r>
    </w:p>
    <w:p w:rsidR="00612D78" w:rsidRDefault="00612D78">
      <w:r>
        <w:rPr>
          <w:noProof/>
        </w:rPr>
        <w:drawing>
          <wp:inline distT="0" distB="0" distL="0" distR="0" wp14:anchorId="5E671E0F" wp14:editId="4FCE06E6">
            <wp:extent cx="5943600" cy="16046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1604645"/>
                    </a:xfrm>
                    <a:prstGeom prst="rect">
                      <a:avLst/>
                    </a:prstGeom>
                  </pic:spPr>
                </pic:pic>
              </a:graphicData>
            </a:graphic>
          </wp:inline>
        </w:drawing>
      </w:r>
    </w:p>
    <w:p w:rsidR="00612D78" w:rsidRDefault="00612D78">
      <w:r>
        <w:rPr>
          <w:noProof/>
        </w:rPr>
        <w:lastRenderedPageBreak/>
        <w:drawing>
          <wp:inline distT="0" distB="0" distL="0" distR="0" wp14:anchorId="165945B6" wp14:editId="57DDACEC">
            <wp:extent cx="5943600" cy="14719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1471930"/>
                    </a:xfrm>
                    <a:prstGeom prst="rect">
                      <a:avLst/>
                    </a:prstGeom>
                  </pic:spPr>
                </pic:pic>
              </a:graphicData>
            </a:graphic>
          </wp:inline>
        </w:drawing>
      </w:r>
    </w:p>
    <w:p w:rsidR="00612D78" w:rsidRDefault="00612D78">
      <w:r>
        <w:rPr>
          <w:noProof/>
        </w:rPr>
        <w:drawing>
          <wp:inline distT="0" distB="0" distL="0" distR="0" wp14:anchorId="1636E793" wp14:editId="169377D9">
            <wp:extent cx="5943600" cy="16706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670685"/>
                    </a:xfrm>
                    <a:prstGeom prst="rect">
                      <a:avLst/>
                    </a:prstGeom>
                  </pic:spPr>
                </pic:pic>
              </a:graphicData>
            </a:graphic>
          </wp:inline>
        </w:drawing>
      </w:r>
    </w:p>
    <w:p w:rsidR="00612D78" w:rsidRDefault="00612D78"/>
    <w:p w:rsidR="00612D78" w:rsidRDefault="00612D78"/>
    <w:p w:rsidR="00612D78" w:rsidRDefault="00612D78"/>
    <w:p w:rsidR="00612D78" w:rsidRDefault="00612D78"/>
    <w:p w:rsidR="001037DE" w:rsidRDefault="001037DE">
      <w:r>
        <w:t>S. of rows soil type</w:t>
      </w:r>
      <w:r>
        <w:rPr>
          <w:noProof/>
        </w:rPr>
        <w:drawing>
          <wp:inline distT="0" distB="0" distL="0" distR="0" wp14:anchorId="5939ADFE" wp14:editId="14D4E163">
            <wp:extent cx="5734050" cy="1790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4050" cy="1790700"/>
                    </a:xfrm>
                    <a:prstGeom prst="rect">
                      <a:avLst/>
                    </a:prstGeom>
                  </pic:spPr>
                </pic:pic>
              </a:graphicData>
            </a:graphic>
          </wp:inline>
        </w:drawing>
      </w:r>
      <w:r>
        <w:t xml:space="preserve">   </w:t>
      </w:r>
      <w:r>
        <w:lastRenderedPageBreak/>
        <w:t>N. of rows soil type</w:t>
      </w:r>
      <w:r>
        <w:rPr>
          <w:noProof/>
        </w:rPr>
        <w:drawing>
          <wp:inline distT="0" distB="0" distL="0" distR="0" wp14:anchorId="5FD706B8" wp14:editId="572997FC">
            <wp:extent cx="5829300" cy="2047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29300" cy="2047875"/>
                    </a:xfrm>
                    <a:prstGeom prst="rect">
                      <a:avLst/>
                    </a:prstGeom>
                  </pic:spPr>
                </pic:pic>
              </a:graphicData>
            </a:graphic>
          </wp:inline>
        </w:drawing>
      </w:r>
    </w:p>
    <w:p w:rsidR="001037DE" w:rsidRDefault="001037DE"/>
    <w:p w:rsidR="001037DE" w:rsidRDefault="001037DE"/>
    <w:p w:rsidR="001037DE" w:rsidRDefault="001037DE"/>
    <w:sectPr w:rsidR="001037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7DE"/>
    <w:rsid w:val="001037DE"/>
    <w:rsid w:val="003254D9"/>
    <w:rsid w:val="00326949"/>
    <w:rsid w:val="003A5DA4"/>
    <w:rsid w:val="0049243F"/>
    <w:rsid w:val="0049552D"/>
    <w:rsid w:val="004A61A5"/>
    <w:rsid w:val="004B4070"/>
    <w:rsid w:val="004D7BFD"/>
    <w:rsid w:val="00597AFE"/>
    <w:rsid w:val="005E1CCF"/>
    <w:rsid w:val="00612D78"/>
    <w:rsid w:val="00665BD0"/>
    <w:rsid w:val="006F0385"/>
    <w:rsid w:val="00700A38"/>
    <w:rsid w:val="00720981"/>
    <w:rsid w:val="007416B6"/>
    <w:rsid w:val="007A354D"/>
    <w:rsid w:val="008C0942"/>
    <w:rsid w:val="00910E11"/>
    <w:rsid w:val="009C1CC7"/>
    <w:rsid w:val="00C35180"/>
    <w:rsid w:val="00CD757B"/>
    <w:rsid w:val="00E20E66"/>
    <w:rsid w:val="00ED394E"/>
    <w:rsid w:val="00EE0C9E"/>
    <w:rsid w:val="00F12755"/>
    <w:rsid w:val="00F92987"/>
    <w:rsid w:val="00FD42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86C71"/>
  <w15:docId w15:val="{802595EA-9FE2-4BFE-98AD-39F86C59F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37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7DE"/>
    <w:rPr>
      <w:rFonts w:ascii="Tahoma" w:hAnsi="Tahoma" w:cs="Tahoma"/>
      <w:sz w:val="16"/>
      <w:szCs w:val="16"/>
    </w:rPr>
  </w:style>
  <w:style w:type="paragraph" w:styleId="Caption">
    <w:name w:val="caption"/>
    <w:basedOn w:val="Normal"/>
    <w:next w:val="Normal"/>
    <w:uiPriority w:val="35"/>
    <w:unhideWhenUsed/>
    <w:qFormat/>
    <w:rsid w:val="001037DE"/>
    <w:pPr>
      <w:spacing w:line="240" w:lineRule="auto"/>
    </w:pPr>
    <w:rPr>
      <w:b/>
      <w:bCs/>
      <w:color w:val="4F81BD" w:themeColor="accent1"/>
      <w:sz w:val="18"/>
      <w:szCs w:val="18"/>
    </w:rPr>
  </w:style>
  <w:style w:type="character" w:styleId="Hyperlink">
    <w:name w:val="Hyperlink"/>
    <w:basedOn w:val="DefaultParagraphFont"/>
    <w:uiPriority w:val="99"/>
    <w:unhideWhenUsed/>
    <w:rsid w:val="005E1C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hyperlink" Target="https://www.cdfa.ca.gov/oefi/healthysoils/docs/2018-HSPIncentives_SoilSampling.pdf" TargetMode="External"/><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image" Target="media/image1.emf"/><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475</Words>
  <Characters>2711</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Baugher Ranch Organics</Company>
  <LinksUpToDate>false</LinksUpToDate>
  <CharactersWithSpaces>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Spare</dc:creator>
  <cp:lastModifiedBy>Nisha</cp:lastModifiedBy>
  <cp:revision>2</cp:revision>
  <dcterms:created xsi:type="dcterms:W3CDTF">2019-03-07T22:24:00Z</dcterms:created>
  <dcterms:modified xsi:type="dcterms:W3CDTF">2019-03-07T22:24:00Z</dcterms:modified>
</cp:coreProperties>
</file>