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34C5" w:rsidRPr="006E34C5" w:rsidRDefault="004C1658" w:rsidP="006E34C5">
      <w:pPr>
        <w:jc w:val="center"/>
        <w:rPr>
          <w:b/>
          <w:sz w:val="28"/>
          <w:szCs w:val="28"/>
        </w:rPr>
      </w:pPr>
      <w:r>
        <w:rPr>
          <w:b/>
          <w:sz w:val="28"/>
          <w:szCs w:val="28"/>
        </w:rPr>
        <w:t>G</w:t>
      </w:r>
      <w:r w:rsidR="00FF5FD9">
        <w:rPr>
          <w:b/>
          <w:sz w:val="28"/>
          <w:szCs w:val="28"/>
        </w:rPr>
        <w:t xml:space="preserve">rower BFF: </w:t>
      </w:r>
      <w:r w:rsidR="00C24985">
        <w:rPr>
          <w:b/>
          <w:sz w:val="28"/>
          <w:szCs w:val="28"/>
        </w:rPr>
        <w:t>Bidart North</w:t>
      </w:r>
    </w:p>
    <w:p w:rsidR="00C24985" w:rsidRDefault="00C24985">
      <w:hyperlink r:id="rId5" w:history="1">
        <w:r w:rsidRPr="000D40E8">
          <w:rPr>
            <w:rStyle w:val="Hyperlink"/>
          </w:rPr>
          <w:t>https://www.google.com/maps/d/edit?mid=13PxwEItx146wef9Xsleosibs9CdL0MPo&amp;ll=35.49869449244712%2C-119.15349267488718&amp;z=12</w:t>
        </w:r>
      </w:hyperlink>
    </w:p>
    <w:p w:rsidR="00CC5C92" w:rsidRDefault="00CC5C92">
      <w:r w:rsidRPr="006E34C5">
        <w:rPr>
          <w:b/>
        </w:rPr>
        <w:t>Planted Acres</w:t>
      </w:r>
      <w:r w:rsidR="007F31FC" w:rsidRPr="006E34C5">
        <w:rPr>
          <w:b/>
        </w:rPr>
        <w:t xml:space="preserve"> (almonds)</w:t>
      </w:r>
      <w:r w:rsidRPr="006E34C5">
        <w:rPr>
          <w:b/>
        </w:rPr>
        <w:t>:</w:t>
      </w:r>
      <w:r>
        <w:t xml:space="preserve"> </w:t>
      </w:r>
      <w:r w:rsidR="00C24985">
        <w:t>3,599</w:t>
      </w:r>
      <w:r w:rsidR="00910908">
        <w:t xml:space="preserve"> planted acres</w:t>
      </w:r>
    </w:p>
    <w:p w:rsidR="00C24985" w:rsidRPr="00C24985" w:rsidRDefault="00C24985">
      <w:r>
        <w:rPr>
          <w:b/>
        </w:rPr>
        <w:tab/>
      </w:r>
      <w:r w:rsidRPr="00C24985">
        <w:t>Bidart Fields A-C</w:t>
      </w:r>
      <w:r>
        <w:t xml:space="preserve">; Bidart Field D; Bidart Fields E,G,M,N,R; Bidart Fields F, K; Bidart Fields J, Q; Bidart G,H,I,J,K,P,N,Q; Bidart L North and South; Bidart </w:t>
      </w:r>
      <w:proofErr w:type="spellStart"/>
      <w:r>
        <w:t>Arkelo</w:t>
      </w:r>
      <w:proofErr w:type="spellEnd"/>
      <w:r>
        <w:t xml:space="preserve"> 3&amp;7; Bidart </w:t>
      </w:r>
      <w:proofErr w:type="spellStart"/>
      <w:r>
        <w:t>Arkelo</w:t>
      </w:r>
      <w:proofErr w:type="spellEnd"/>
      <w:r>
        <w:t xml:space="preserve"> 9; Bidart </w:t>
      </w:r>
      <w:proofErr w:type="spellStart"/>
      <w:r>
        <w:t>Arkelo</w:t>
      </w:r>
      <w:proofErr w:type="spellEnd"/>
      <w:r>
        <w:t xml:space="preserve"> B-1; Bidart </w:t>
      </w:r>
      <w:proofErr w:type="spellStart"/>
      <w:r>
        <w:t>Arkelo</w:t>
      </w:r>
      <w:proofErr w:type="spellEnd"/>
      <w:r>
        <w:t xml:space="preserve"> 10&amp;11; Bidart South Minter N; Bidart Minter South E; Bidart Minter South R,S,T,U,N; Bidart Minter South G</w:t>
      </w:r>
    </w:p>
    <w:p w:rsidR="009C3E80" w:rsidRDefault="00CC5C92">
      <w:r w:rsidRPr="006E34C5">
        <w:rPr>
          <w:b/>
        </w:rPr>
        <w:t xml:space="preserve">Permanent </w:t>
      </w:r>
      <w:r w:rsidR="00C24985">
        <w:rPr>
          <w:b/>
        </w:rPr>
        <w:t xml:space="preserve">Premium* </w:t>
      </w:r>
      <w:r w:rsidRPr="006E34C5">
        <w:rPr>
          <w:b/>
        </w:rPr>
        <w:t>Habitat:</w:t>
      </w:r>
      <w:r>
        <w:t xml:space="preserve"> </w:t>
      </w:r>
      <w:r w:rsidR="00C24985">
        <w:t>32.6</w:t>
      </w:r>
      <w:r w:rsidR="007E207F">
        <w:t xml:space="preserve"> </w:t>
      </w:r>
      <w:r w:rsidR="00940B93">
        <w:t>calculated</w:t>
      </w:r>
      <w:r w:rsidR="00F81FF6">
        <w:t xml:space="preserve"> acre</w:t>
      </w:r>
      <w:r w:rsidR="00766348">
        <w:t>s</w:t>
      </w:r>
    </w:p>
    <w:p w:rsidR="00C24985" w:rsidRDefault="00C24985">
      <w:r>
        <w:tab/>
        <w:t>*green shaded on map; representative of the ‘best’ habitat on the ranch.</w:t>
      </w:r>
    </w:p>
    <w:p w:rsidR="001F314B" w:rsidRPr="001F314B" w:rsidRDefault="001F314B" w:rsidP="001F314B">
      <w:pPr>
        <w:pStyle w:val="ListParagraph"/>
        <w:numPr>
          <w:ilvl w:val="0"/>
          <w:numId w:val="1"/>
        </w:numPr>
      </w:pPr>
      <w:r>
        <w:t>Bidart Habitat A; Bidart Habitat L; Bidart Habitat M; Bidart Habitat Y; Bidart Habitat CC; Bidart Habitat EE; Bidart Habitat</w:t>
      </w:r>
      <w:r w:rsidR="00C849E7">
        <w:t xml:space="preserve"> GG; Bidart Habitat JJ; Bidart Habitat MM; Bidart Habitat XX; Bidart Habitat YY; Bidart Habitat F; Bidart Habitat I; Bidart Habitat ZZZ</w:t>
      </w:r>
    </w:p>
    <w:p w:rsidR="002F6EA9" w:rsidRDefault="00C24985" w:rsidP="001F314B">
      <w:pPr>
        <w:pStyle w:val="ListParagraph"/>
        <w:numPr>
          <w:ilvl w:val="0"/>
          <w:numId w:val="1"/>
        </w:numPr>
      </w:pPr>
      <w:r>
        <w:t xml:space="preserve">Areas consist of year round forage with a high density of wood shrubs like buckwheat and other native flowering plants, and seasonal plants like thistle, </w:t>
      </w:r>
      <w:r w:rsidR="008902E5">
        <w:t>tumbleweeds, mustards and many others.</w:t>
      </w:r>
    </w:p>
    <w:p w:rsidR="00405DC9" w:rsidRDefault="007F4C91" w:rsidP="00047BD2">
      <w:pPr>
        <w:pStyle w:val="ListParagraph"/>
        <w:numPr>
          <w:ilvl w:val="0"/>
          <w:numId w:val="1"/>
        </w:numPr>
      </w:pPr>
      <w:r>
        <w:t xml:space="preserve">Representative </w:t>
      </w:r>
      <w:r w:rsidR="000F7F60">
        <w:t>photographs</w:t>
      </w:r>
      <w:r>
        <w:t xml:space="preserve"> can be found in supplemental documentation.</w:t>
      </w:r>
    </w:p>
    <w:p w:rsidR="009A6476" w:rsidRDefault="008902E5" w:rsidP="002F38C7">
      <w:pPr>
        <w:pStyle w:val="ListParagraph"/>
        <w:numPr>
          <w:ilvl w:val="0"/>
          <w:numId w:val="1"/>
        </w:numPr>
      </w:pPr>
      <w:r>
        <w:t>Most</w:t>
      </w:r>
      <w:r w:rsidR="009A6476">
        <w:t xml:space="preserve"> </w:t>
      </w:r>
      <w:r w:rsidR="006D33C2">
        <w:t>orchards</w:t>
      </w:r>
      <w:r w:rsidR="009A6476">
        <w:t xml:space="preserve"> are within a 3-mile radius of at least one mapped </w:t>
      </w:r>
      <w:r w:rsidR="000F7F60">
        <w:t>permanent</w:t>
      </w:r>
      <w:r>
        <w:t xml:space="preserve"> premium </w:t>
      </w:r>
      <w:r w:rsidR="009A6476">
        <w:t>habitat</w:t>
      </w:r>
    </w:p>
    <w:p w:rsidR="00AC5454" w:rsidRDefault="00AC5454">
      <w:r w:rsidRPr="006E34C5">
        <w:rPr>
          <w:b/>
        </w:rPr>
        <w:t xml:space="preserve">Permanent </w:t>
      </w:r>
      <w:r w:rsidR="008902E5">
        <w:rPr>
          <w:b/>
        </w:rPr>
        <w:t xml:space="preserve">Premium </w:t>
      </w:r>
      <w:r w:rsidR="006E34C5">
        <w:rPr>
          <w:b/>
        </w:rPr>
        <w:t xml:space="preserve">as a </w:t>
      </w:r>
      <w:r w:rsidR="00405DC9" w:rsidRPr="006E34C5">
        <w:rPr>
          <w:b/>
        </w:rPr>
        <w:t>Percentage</w:t>
      </w:r>
      <w:r w:rsidR="006E34C5">
        <w:rPr>
          <w:b/>
        </w:rPr>
        <w:t xml:space="preserve"> of </w:t>
      </w:r>
      <w:r w:rsidR="008902E5">
        <w:rPr>
          <w:b/>
        </w:rPr>
        <w:t>Planted</w:t>
      </w:r>
      <w:r w:rsidR="006E34C5">
        <w:rPr>
          <w:b/>
        </w:rPr>
        <w:t xml:space="preserve"> Acres</w:t>
      </w:r>
      <w:r w:rsidRPr="006E34C5">
        <w:rPr>
          <w:b/>
        </w:rPr>
        <w:t>:</w:t>
      </w:r>
      <w:r>
        <w:t xml:space="preserve"> </w:t>
      </w:r>
      <w:r w:rsidR="008902E5">
        <w:t>.91</w:t>
      </w:r>
      <w:r>
        <w:t>% {</w:t>
      </w:r>
      <w:r w:rsidR="008902E5">
        <w:t>32.6</w:t>
      </w:r>
      <w:r w:rsidR="001D3F0C">
        <w:t>/</w:t>
      </w:r>
      <w:r w:rsidR="008902E5">
        <w:t>3599</w:t>
      </w:r>
      <w:r w:rsidR="002F38C7">
        <w:t>}</w:t>
      </w:r>
    </w:p>
    <w:p w:rsidR="008902E5" w:rsidRDefault="008902E5">
      <w:pPr>
        <w:rPr>
          <w:b/>
        </w:rPr>
      </w:pPr>
      <w:r w:rsidRPr="008902E5">
        <w:rPr>
          <w:b/>
        </w:rPr>
        <w:t>Secondary*</w:t>
      </w:r>
      <w:r>
        <w:rPr>
          <w:b/>
        </w:rPr>
        <w:t>*</w:t>
      </w:r>
      <w:r w:rsidRPr="008902E5">
        <w:rPr>
          <w:b/>
        </w:rPr>
        <w:t xml:space="preserve"> Permanent Habitat</w:t>
      </w:r>
      <w:r>
        <w:rPr>
          <w:b/>
        </w:rPr>
        <w:t xml:space="preserve">: </w:t>
      </w:r>
      <w:r w:rsidRPr="008902E5">
        <w:t>30.1</w:t>
      </w:r>
      <w:r>
        <w:t xml:space="preserve"> calculated Acres</w:t>
      </w:r>
    </w:p>
    <w:p w:rsidR="008902E5" w:rsidRPr="008902E5" w:rsidRDefault="008902E5">
      <w:r>
        <w:rPr>
          <w:b/>
        </w:rPr>
        <w:tab/>
      </w:r>
      <w:r w:rsidRPr="008902E5">
        <w:t>**Generally levee berm areas where</w:t>
      </w:r>
      <w:r>
        <w:t xml:space="preserve"> plant species are abundant, but more seasonal. These areas are clearly not managed by the irrigation district, but should they decide to, the farm would have little recourse. Other areas where district activity keeps berms clear are not counted in this category. Secondary Habitats are represented in yellow on maps</w:t>
      </w:r>
      <w:r w:rsidRPr="008902E5">
        <w:t xml:space="preserve"> </w:t>
      </w:r>
    </w:p>
    <w:p w:rsidR="00993AA2" w:rsidRDefault="00993AA2" w:rsidP="00993AA2">
      <w:pPr>
        <w:pStyle w:val="ListParagraph"/>
        <w:numPr>
          <w:ilvl w:val="0"/>
          <w:numId w:val="1"/>
        </w:numPr>
      </w:pPr>
      <w:r>
        <w:t xml:space="preserve">Bidart Habitat Q; </w:t>
      </w:r>
      <w:r w:rsidR="00C04F85">
        <w:t>Bidart Habitat</w:t>
      </w:r>
      <w:r w:rsidR="00C04F85">
        <w:t xml:space="preserve"> ZZ; </w:t>
      </w:r>
      <w:r w:rsidR="00C04F85">
        <w:t>Bidart Habitat</w:t>
      </w:r>
      <w:r w:rsidR="00C04F85">
        <w:t xml:space="preserve"> ZZ1; </w:t>
      </w:r>
      <w:r w:rsidR="00C04F85">
        <w:t>Bidart Habitat</w:t>
      </w:r>
      <w:r w:rsidR="00C04F85">
        <w:t xml:space="preserve"> ZZ2; </w:t>
      </w:r>
      <w:r w:rsidR="00C04F85">
        <w:t>Bidart Habitat</w:t>
      </w:r>
      <w:r w:rsidR="00C04F85">
        <w:t xml:space="preserve"> ZZ3; </w:t>
      </w:r>
      <w:r w:rsidR="00C04F85">
        <w:t>Bidart Habitat</w:t>
      </w:r>
      <w:r w:rsidR="00C04F85">
        <w:t xml:space="preserve"> ZZ4; </w:t>
      </w:r>
    </w:p>
    <w:p w:rsidR="008902E5" w:rsidRDefault="008902E5" w:rsidP="00993AA2">
      <w:pPr>
        <w:pStyle w:val="ListParagraph"/>
        <w:numPr>
          <w:ilvl w:val="0"/>
          <w:numId w:val="1"/>
        </w:numPr>
      </w:pPr>
      <w:r>
        <w:t>Areas consist of year round forage, though with generally less density of woody shrubs like buckwheat and other native flowering plants. Seasonal plants include thistle, tumbleweeds, mustards and many others.</w:t>
      </w:r>
    </w:p>
    <w:p w:rsidR="008902E5" w:rsidRDefault="008902E5" w:rsidP="008902E5">
      <w:pPr>
        <w:pStyle w:val="ListParagraph"/>
        <w:numPr>
          <w:ilvl w:val="0"/>
          <w:numId w:val="1"/>
        </w:numPr>
      </w:pPr>
      <w:r>
        <w:t>Representative photographs can be found in supplemental documentation.</w:t>
      </w:r>
    </w:p>
    <w:p w:rsidR="008902E5" w:rsidRDefault="008902E5" w:rsidP="008902E5">
      <w:pPr>
        <w:pStyle w:val="ListParagraph"/>
        <w:numPr>
          <w:ilvl w:val="0"/>
          <w:numId w:val="1"/>
        </w:numPr>
      </w:pPr>
      <w:r>
        <w:t>Most orchards are within a 3-mile radius of at least one mapped permanent premium habitat</w:t>
      </w:r>
    </w:p>
    <w:p w:rsidR="008902E5" w:rsidRDefault="008902E5">
      <w:r w:rsidRPr="006E34C5">
        <w:rPr>
          <w:b/>
        </w:rPr>
        <w:t xml:space="preserve">Permanent </w:t>
      </w:r>
      <w:r>
        <w:rPr>
          <w:b/>
        </w:rPr>
        <w:t xml:space="preserve">Secondary as a </w:t>
      </w:r>
      <w:r w:rsidRPr="006E34C5">
        <w:rPr>
          <w:b/>
        </w:rPr>
        <w:t>Percentage</w:t>
      </w:r>
      <w:r>
        <w:rPr>
          <w:b/>
        </w:rPr>
        <w:t xml:space="preserve"> of Planted Acres</w:t>
      </w:r>
      <w:r w:rsidRPr="006E34C5">
        <w:rPr>
          <w:b/>
        </w:rPr>
        <w:t>:</w:t>
      </w:r>
      <w:r>
        <w:rPr>
          <w:b/>
        </w:rPr>
        <w:t xml:space="preserve"> </w:t>
      </w:r>
      <w:r>
        <w:t>.84% {30.1/3599}</w:t>
      </w:r>
    </w:p>
    <w:p w:rsidR="002929B1" w:rsidRPr="002929B1" w:rsidRDefault="002929B1">
      <w:pPr>
        <w:rPr>
          <w:b/>
        </w:rPr>
      </w:pPr>
      <w:r w:rsidRPr="002929B1">
        <w:rPr>
          <w:b/>
        </w:rPr>
        <w:t>Other Habitats and Seasonal Habitats</w:t>
      </w:r>
      <w:r>
        <w:rPr>
          <w:b/>
        </w:rPr>
        <w:t xml:space="preserve">: </w:t>
      </w:r>
      <w:r w:rsidRPr="002929B1">
        <w:t>39.7</w:t>
      </w:r>
      <w:r>
        <w:t xml:space="preserve"> calculated acres</w:t>
      </w:r>
    </w:p>
    <w:p w:rsidR="002929B1" w:rsidRDefault="002929B1">
      <w:r>
        <w:tab/>
        <w:t>***Represented in orange on maps. These are areas where active farming is not taking place, but year round forage is not present generally due to irrigation district activities and weed controls. Seasonal plants are common in winter and spring.</w:t>
      </w:r>
    </w:p>
    <w:p w:rsidR="002929B1" w:rsidRDefault="002929B1" w:rsidP="002929B1">
      <w:pPr>
        <w:pStyle w:val="ListParagraph"/>
        <w:numPr>
          <w:ilvl w:val="0"/>
          <w:numId w:val="1"/>
        </w:numPr>
      </w:pPr>
      <w:r>
        <w:lastRenderedPageBreak/>
        <w:t>Seasonal ‘weeds’ are present in the winter and spring and may include mustards, puncture vine, grasses and wild flowers.</w:t>
      </w:r>
      <w:r w:rsidR="00C04F85">
        <w:t xml:space="preserve"> These areas have active weed controls so forage is best considered temporary.</w:t>
      </w:r>
    </w:p>
    <w:p w:rsidR="002929B1" w:rsidRDefault="002929B1" w:rsidP="002929B1">
      <w:pPr>
        <w:pStyle w:val="ListParagraph"/>
        <w:numPr>
          <w:ilvl w:val="0"/>
          <w:numId w:val="1"/>
        </w:numPr>
      </w:pPr>
      <w:r>
        <w:t>Representative photographs can be found in supplemental documentation.</w:t>
      </w:r>
    </w:p>
    <w:p w:rsidR="002929B1" w:rsidRDefault="002929B1" w:rsidP="002929B1">
      <w:pPr>
        <w:pStyle w:val="ListParagraph"/>
        <w:numPr>
          <w:ilvl w:val="0"/>
          <w:numId w:val="1"/>
        </w:numPr>
      </w:pPr>
      <w:r>
        <w:t>Most orchards are within a 3-mile radius of at least one mapped permanent premium habitat</w:t>
      </w:r>
    </w:p>
    <w:p w:rsidR="002929B1" w:rsidRDefault="002929B1">
      <w:r w:rsidRPr="002929B1">
        <w:rPr>
          <w:b/>
        </w:rPr>
        <w:t>Other Habitats and Seasonal Habitats</w:t>
      </w:r>
      <w:r>
        <w:rPr>
          <w:b/>
        </w:rPr>
        <w:t xml:space="preserve"> as a Percentage of Planted Acres: </w:t>
      </w:r>
      <w:r>
        <w:t>1.1% {39.7/3599}</w:t>
      </w:r>
    </w:p>
    <w:p w:rsidR="0049520A" w:rsidRDefault="00405DC9" w:rsidP="0049520A">
      <w:r w:rsidRPr="004D4C0B">
        <w:rPr>
          <w:b/>
        </w:rPr>
        <w:t>Cover Crop:</w:t>
      </w:r>
      <w:r>
        <w:t xml:space="preserve"> 20</w:t>
      </w:r>
      <w:r w:rsidR="002929B1">
        <w:t>22/23</w:t>
      </w:r>
      <w:r w:rsidR="002F38C7">
        <w:t xml:space="preserve">: </w:t>
      </w:r>
      <w:r w:rsidR="00A8340F">
        <w:t>Planned 105 a</w:t>
      </w:r>
      <w:r w:rsidR="002929B1">
        <w:t>cres</w:t>
      </w:r>
      <w:r w:rsidR="00405B88">
        <w:t xml:space="preserve"> </w:t>
      </w:r>
      <w:r w:rsidR="002929B1">
        <w:t>full coverage on adjacent fallow lands 2.97% {105/3599}</w:t>
      </w:r>
    </w:p>
    <w:p w:rsidR="0049520A" w:rsidRDefault="0049520A" w:rsidP="0049520A">
      <w:r>
        <w:tab/>
      </w:r>
      <w:r w:rsidR="002929B1">
        <w:t xml:space="preserve">Committed to cover crops and experimenting with a flowering seed mix in 2022/23 on adjacent fallow lands. Cover crops have been used in the southern region on fallow for years, but flowering plants were not included so experiments will be on the success of flowering seed inclusions. A commitment to continue cover crop in the future has been agreed to in principle. </w:t>
      </w:r>
    </w:p>
    <w:p w:rsidR="00872185" w:rsidRDefault="00C04F85" w:rsidP="00787D99">
      <w:pPr>
        <w:rPr>
          <w:b/>
        </w:rPr>
      </w:pPr>
      <w:r>
        <w:rPr>
          <w:b/>
        </w:rPr>
        <w:t>Additional</w:t>
      </w:r>
      <w:r w:rsidR="002F38C7" w:rsidRPr="00455A3F">
        <w:rPr>
          <w:b/>
        </w:rPr>
        <w:t xml:space="preserve"> Habitat Considerations</w:t>
      </w:r>
      <w:r w:rsidR="00455A3F">
        <w:rPr>
          <w:b/>
        </w:rPr>
        <w:t xml:space="preserve">: </w:t>
      </w:r>
      <w:r w:rsidR="00F23AF4" w:rsidRPr="00F23AF4">
        <w:t>~</w:t>
      </w:r>
      <w:r w:rsidR="00A8340F">
        <w:t>6.6</w:t>
      </w:r>
      <w:r w:rsidR="00F23AF4" w:rsidRPr="00F23AF4">
        <w:t xml:space="preserve"> acres</w:t>
      </w:r>
      <w:r>
        <w:t xml:space="preserve"> .18% {6.6/3599}</w:t>
      </w:r>
    </w:p>
    <w:p w:rsidR="00F23AF4" w:rsidRDefault="00F23AF4" w:rsidP="00787D99">
      <w:r>
        <w:rPr>
          <w:b/>
        </w:rPr>
        <w:tab/>
      </w:r>
      <w:r w:rsidRPr="00F23AF4">
        <w:t>Property</w:t>
      </w:r>
      <w:r>
        <w:t xml:space="preserve"> contains an on-ground solar array </w:t>
      </w:r>
      <w:r w:rsidR="00A8340F">
        <w:t>as well as several employee housing sites. The solar array is controlled for weeds annually. The housing areas generally have a grassy area, trees (which include mulberry, eucalyptus, and fruit trees) as well as ornamental flowers like roses. These are under farm control, but unclear how these fit into habitat considerations. These areas are colored blue on maps.</w:t>
      </w:r>
    </w:p>
    <w:p w:rsidR="00C04F85" w:rsidRPr="00C04F85" w:rsidRDefault="00C04F85" w:rsidP="00787D99">
      <w:pPr>
        <w:rPr>
          <w:b/>
        </w:rPr>
      </w:pPr>
      <w:r>
        <w:rPr>
          <w:b/>
        </w:rPr>
        <w:t>Habitat Summary</w:t>
      </w:r>
    </w:p>
    <w:tbl>
      <w:tblPr>
        <w:tblStyle w:val="TableGrid"/>
        <w:tblW w:w="0" w:type="auto"/>
        <w:tblLook w:val="04A0" w:firstRow="1" w:lastRow="0" w:firstColumn="1" w:lastColumn="0" w:noHBand="0" w:noVBand="1"/>
      </w:tblPr>
      <w:tblGrid>
        <w:gridCol w:w="3116"/>
        <w:gridCol w:w="3117"/>
        <w:gridCol w:w="3117"/>
      </w:tblGrid>
      <w:tr w:rsidR="00C04F85" w:rsidTr="00C04F85">
        <w:tc>
          <w:tcPr>
            <w:tcW w:w="3116" w:type="dxa"/>
          </w:tcPr>
          <w:p w:rsidR="00C04F85" w:rsidRDefault="00C04F85" w:rsidP="00787D99">
            <w:r>
              <w:t>Habitat Type</w:t>
            </w:r>
          </w:p>
        </w:tc>
        <w:tc>
          <w:tcPr>
            <w:tcW w:w="3117" w:type="dxa"/>
          </w:tcPr>
          <w:p w:rsidR="00C04F85" w:rsidRDefault="00C04F85" w:rsidP="00787D99">
            <w:r>
              <w:t>Acres</w:t>
            </w:r>
          </w:p>
        </w:tc>
        <w:tc>
          <w:tcPr>
            <w:tcW w:w="3117" w:type="dxa"/>
          </w:tcPr>
          <w:p w:rsidR="00C04F85" w:rsidRDefault="00C04F85" w:rsidP="00787D99">
            <w:r>
              <w:t>As % of Planted Acres</w:t>
            </w:r>
          </w:p>
        </w:tc>
      </w:tr>
      <w:tr w:rsidR="00C04F85" w:rsidTr="00C04F85">
        <w:tc>
          <w:tcPr>
            <w:tcW w:w="3116" w:type="dxa"/>
          </w:tcPr>
          <w:p w:rsidR="00C04F85" w:rsidRDefault="00C04F85" w:rsidP="00787D99">
            <w:r>
              <w:t>Premium Permanent</w:t>
            </w:r>
          </w:p>
        </w:tc>
        <w:tc>
          <w:tcPr>
            <w:tcW w:w="3117" w:type="dxa"/>
          </w:tcPr>
          <w:p w:rsidR="00C04F85" w:rsidRDefault="00C04F85" w:rsidP="00787D99">
            <w:r>
              <w:t>32.6</w:t>
            </w:r>
          </w:p>
        </w:tc>
        <w:tc>
          <w:tcPr>
            <w:tcW w:w="3117" w:type="dxa"/>
          </w:tcPr>
          <w:p w:rsidR="00C04F85" w:rsidRDefault="00C04F85" w:rsidP="00787D99">
            <w:r>
              <w:t>.91%</w:t>
            </w:r>
          </w:p>
        </w:tc>
      </w:tr>
      <w:tr w:rsidR="00C04F85" w:rsidTr="00C04F85">
        <w:tc>
          <w:tcPr>
            <w:tcW w:w="3116" w:type="dxa"/>
          </w:tcPr>
          <w:p w:rsidR="00C04F85" w:rsidRDefault="00C04F85" w:rsidP="00787D99">
            <w:r>
              <w:t>Secondary Permanent</w:t>
            </w:r>
          </w:p>
        </w:tc>
        <w:tc>
          <w:tcPr>
            <w:tcW w:w="3117" w:type="dxa"/>
          </w:tcPr>
          <w:p w:rsidR="00C04F85" w:rsidRDefault="00C04F85" w:rsidP="00787D99">
            <w:r>
              <w:t>30.1</w:t>
            </w:r>
          </w:p>
        </w:tc>
        <w:tc>
          <w:tcPr>
            <w:tcW w:w="3117" w:type="dxa"/>
          </w:tcPr>
          <w:p w:rsidR="00C04F85" w:rsidRDefault="00C04F85" w:rsidP="00787D99">
            <w:r>
              <w:t>.84%</w:t>
            </w:r>
          </w:p>
        </w:tc>
      </w:tr>
      <w:tr w:rsidR="00C04F85" w:rsidTr="00C04F85">
        <w:tc>
          <w:tcPr>
            <w:tcW w:w="3116" w:type="dxa"/>
          </w:tcPr>
          <w:p w:rsidR="00C04F85" w:rsidRDefault="00C04F85" w:rsidP="00787D99">
            <w:r>
              <w:t>Other/Seasonal</w:t>
            </w:r>
          </w:p>
        </w:tc>
        <w:tc>
          <w:tcPr>
            <w:tcW w:w="3117" w:type="dxa"/>
          </w:tcPr>
          <w:p w:rsidR="00C04F85" w:rsidRDefault="00C04F85" w:rsidP="00787D99">
            <w:r>
              <w:t>39.7</w:t>
            </w:r>
          </w:p>
        </w:tc>
        <w:tc>
          <w:tcPr>
            <w:tcW w:w="3117" w:type="dxa"/>
          </w:tcPr>
          <w:p w:rsidR="00C04F85" w:rsidRDefault="00C04F85" w:rsidP="00787D99">
            <w:r>
              <w:t>1.1%</w:t>
            </w:r>
          </w:p>
        </w:tc>
      </w:tr>
      <w:tr w:rsidR="00C04F85" w:rsidTr="00C04F85">
        <w:tc>
          <w:tcPr>
            <w:tcW w:w="3116" w:type="dxa"/>
          </w:tcPr>
          <w:p w:rsidR="00C04F85" w:rsidRDefault="00C04F85" w:rsidP="00787D99">
            <w:r>
              <w:t>Planned Cover Crops</w:t>
            </w:r>
          </w:p>
        </w:tc>
        <w:tc>
          <w:tcPr>
            <w:tcW w:w="3117" w:type="dxa"/>
          </w:tcPr>
          <w:p w:rsidR="00C04F85" w:rsidRDefault="00C04F85" w:rsidP="00787D99">
            <w:r>
              <w:t>105</w:t>
            </w:r>
          </w:p>
        </w:tc>
        <w:tc>
          <w:tcPr>
            <w:tcW w:w="3117" w:type="dxa"/>
          </w:tcPr>
          <w:p w:rsidR="00C04F85" w:rsidRDefault="00C04F85" w:rsidP="00787D99">
            <w:r>
              <w:t>2.9%</w:t>
            </w:r>
          </w:p>
        </w:tc>
      </w:tr>
      <w:tr w:rsidR="00C04F85" w:rsidTr="00C04F85">
        <w:tc>
          <w:tcPr>
            <w:tcW w:w="3116" w:type="dxa"/>
          </w:tcPr>
          <w:p w:rsidR="00C04F85" w:rsidRDefault="00C04F85" w:rsidP="00787D99">
            <w:r>
              <w:t>Additional Habitat</w:t>
            </w:r>
          </w:p>
        </w:tc>
        <w:tc>
          <w:tcPr>
            <w:tcW w:w="3117" w:type="dxa"/>
          </w:tcPr>
          <w:p w:rsidR="00C04F85" w:rsidRDefault="00C04F85" w:rsidP="00787D99">
            <w:r>
              <w:t>6.6</w:t>
            </w:r>
          </w:p>
        </w:tc>
        <w:tc>
          <w:tcPr>
            <w:tcW w:w="3117" w:type="dxa"/>
          </w:tcPr>
          <w:p w:rsidR="00C04F85" w:rsidRDefault="00C04F85" w:rsidP="00787D99">
            <w:r>
              <w:t>.18%</w:t>
            </w:r>
          </w:p>
        </w:tc>
      </w:tr>
    </w:tbl>
    <w:p w:rsidR="00C04F85" w:rsidRPr="00F23AF4" w:rsidRDefault="00C04F85" w:rsidP="00787D99"/>
    <w:p w:rsidR="00B24336" w:rsidRPr="00B24336" w:rsidRDefault="00B24336" w:rsidP="00787D99">
      <w:pPr>
        <w:rPr>
          <w:b/>
        </w:rPr>
      </w:pPr>
      <w:r w:rsidRPr="00B24336">
        <w:rPr>
          <w:b/>
        </w:rPr>
        <w:t>Supplemental Documentation</w:t>
      </w:r>
    </w:p>
    <w:p w:rsidR="00B24336" w:rsidRDefault="00B24336" w:rsidP="00787D99">
      <w:r>
        <w:tab/>
        <w:t>CASP Bee Health Report:</w:t>
      </w:r>
      <w:bookmarkStart w:id="0" w:name="_GoBack"/>
      <w:bookmarkEnd w:id="0"/>
    </w:p>
    <w:p w:rsidR="000B6FD1" w:rsidRDefault="000B6FD1" w:rsidP="00787D99">
      <w:r>
        <w:tab/>
      </w:r>
      <w:r w:rsidRPr="000B6FD1">
        <w:t>https://www.dropbox.com/s/psfty2ys0z7kswg/BFF_Report%20%2831%29.pdf?dl=0</w:t>
      </w:r>
    </w:p>
    <w:p w:rsidR="00B24336" w:rsidRDefault="00383E14" w:rsidP="00787D99">
      <w:r>
        <w:tab/>
      </w:r>
      <w:r w:rsidR="00F23AF4">
        <w:t>Representative Habitat Photos:</w:t>
      </w:r>
    </w:p>
    <w:p w:rsidR="00383E14" w:rsidRDefault="00383E14" w:rsidP="00787D99">
      <w:r>
        <w:tab/>
      </w:r>
      <w:r w:rsidR="000B6FD1" w:rsidRPr="000B6FD1">
        <w:t>https://www.dropbox.com/sh/1m7rvipks1ymzx0/AABMlNM6i4EqMrpjq707wtSoa?dl=0</w:t>
      </w:r>
    </w:p>
    <w:sectPr w:rsidR="00383E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3D5540"/>
    <w:multiLevelType w:val="hybridMultilevel"/>
    <w:tmpl w:val="7324A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A53638C"/>
    <w:multiLevelType w:val="hybridMultilevel"/>
    <w:tmpl w:val="9C3658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85E22D4"/>
    <w:multiLevelType w:val="hybridMultilevel"/>
    <w:tmpl w:val="EFEA90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E19157C"/>
    <w:multiLevelType w:val="hybridMultilevel"/>
    <w:tmpl w:val="CE2E5E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746173AC"/>
    <w:multiLevelType w:val="hybridMultilevel"/>
    <w:tmpl w:val="CF86C0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5C92"/>
    <w:rsid w:val="00022EFF"/>
    <w:rsid w:val="00047BD2"/>
    <w:rsid w:val="000B6FD1"/>
    <w:rsid w:val="000F7F60"/>
    <w:rsid w:val="001306DE"/>
    <w:rsid w:val="0016439E"/>
    <w:rsid w:val="001A76B9"/>
    <w:rsid w:val="001B57E7"/>
    <w:rsid w:val="001D3F0C"/>
    <w:rsid w:val="001E4CCA"/>
    <w:rsid w:val="001F314B"/>
    <w:rsid w:val="00201DBE"/>
    <w:rsid w:val="002316DB"/>
    <w:rsid w:val="002929B1"/>
    <w:rsid w:val="002B7209"/>
    <w:rsid w:val="002F38C7"/>
    <w:rsid w:val="002F6EA9"/>
    <w:rsid w:val="00351D0B"/>
    <w:rsid w:val="00383E14"/>
    <w:rsid w:val="003B6804"/>
    <w:rsid w:val="003B73F3"/>
    <w:rsid w:val="00405B88"/>
    <w:rsid w:val="00405DC9"/>
    <w:rsid w:val="00435DA0"/>
    <w:rsid w:val="00441710"/>
    <w:rsid w:val="00452C25"/>
    <w:rsid w:val="00455A3F"/>
    <w:rsid w:val="00456653"/>
    <w:rsid w:val="0049520A"/>
    <w:rsid w:val="004A1754"/>
    <w:rsid w:val="004A2855"/>
    <w:rsid w:val="004C1658"/>
    <w:rsid w:val="004D4C0B"/>
    <w:rsid w:val="004D4CAB"/>
    <w:rsid w:val="00532239"/>
    <w:rsid w:val="00546CC9"/>
    <w:rsid w:val="006A7BDD"/>
    <w:rsid w:val="006C1F98"/>
    <w:rsid w:val="006D33C2"/>
    <w:rsid w:val="006E34C5"/>
    <w:rsid w:val="006F2DFB"/>
    <w:rsid w:val="00714F05"/>
    <w:rsid w:val="00766348"/>
    <w:rsid w:val="00787D99"/>
    <w:rsid w:val="00791671"/>
    <w:rsid w:val="007E207F"/>
    <w:rsid w:val="007F31FC"/>
    <w:rsid w:val="007F4C91"/>
    <w:rsid w:val="007F6C5C"/>
    <w:rsid w:val="00872185"/>
    <w:rsid w:val="00880782"/>
    <w:rsid w:val="008902E5"/>
    <w:rsid w:val="00897F76"/>
    <w:rsid w:val="008A79C4"/>
    <w:rsid w:val="00910908"/>
    <w:rsid w:val="00940B93"/>
    <w:rsid w:val="00976DFD"/>
    <w:rsid w:val="00993AA2"/>
    <w:rsid w:val="009A6476"/>
    <w:rsid w:val="009C3E80"/>
    <w:rsid w:val="009C58D5"/>
    <w:rsid w:val="00A13CA4"/>
    <w:rsid w:val="00A70EA7"/>
    <w:rsid w:val="00A8340F"/>
    <w:rsid w:val="00AA57EA"/>
    <w:rsid w:val="00AB2E16"/>
    <w:rsid w:val="00AC5454"/>
    <w:rsid w:val="00B24336"/>
    <w:rsid w:val="00B80C75"/>
    <w:rsid w:val="00BE797B"/>
    <w:rsid w:val="00C04F85"/>
    <w:rsid w:val="00C24985"/>
    <w:rsid w:val="00C3175C"/>
    <w:rsid w:val="00C849E7"/>
    <w:rsid w:val="00CC5C92"/>
    <w:rsid w:val="00CD1753"/>
    <w:rsid w:val="00D05DCC"/>
    <w:rsid w:val="00D24226"/>
    <w:rsid w:val="00D3683F"/>
    <w:rsid w:val="00D55D2A"/>
    <w:rsid w:val="00D83755"/>
    <w:rsid w:val="00DB1A38"/>
    <w:rsid w:val="00E86C0C"/>
    <w:rsid w:val="00E97634"/>
    <w:rsid w:val="00ED248C"/>
    <w:rsid w:val="00F23AF4"/>
    <w:rsid w:val="00F4261F"/>
    <w:rsid w:val="00F81FF6"/>
    <w:rsid w:val="00F95BB2"/>
    <w:rsid w:val="00FA5195"/>
    <w:rsid w:val="00FB5AD5"/>
    <w:rsid w:val="00FD0D67"/>
    <w:rsid w:val="00FF5F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01C17D"/>
  <w15:chartTrackingRefBased/>
  <w15:docId w15:val="{2DC1C8CE-17F1-454A-918F-F7A20EFD6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C5C92"/>
    <w:rPr>
      <w:color w:val="0563C1" w:themeColor="hyperlink"/>
      <w:u w:val="single"/>
    </w:rPr>
  </w:style>
  <w:style w:type="character" w:customStyle="1" w:styleId="UnresolvedMention">
    <w:name w:val="Unresolved Mention"/>
    <w:basedOn w:val="DefaultParagraphFont"/>
    <w:uiPriority w:val="99"/>
    <w:semiHidden/>
    <w:unhideWhenUsed/>
    <w:rsid w:val="00CC5C92"/>
    <w:rPr>
      <w:color w:val="605E5C"/>
      <w:shd w:val="clear" w:color="auto" w:fill="E1DFDD"/>
    </w:rPr>
  </w:style>
  <w:style w:type="paragraph" w:styleId="ListParagraph">
    <w:name w:val="List Paragraph"/>
    <w:basedOn w:val="Normal"/>
    <w:uiPriority w:val="34"/>
    <w:qFormat/>
    <w:rsid w:val="009C3E80"/>
    <w:pPr>
      <w:ind w:left="720"/>
      <w:contextualSpacing/>
    </w:pPr>
  </w:style>
  <w:style w:type="table" w:styleId="TableGrid">
    <w:name w:val="Table Grid"/>
    <w:basedOn w:val="TableNormal"/>
    <w:uiPriority w:val="39"/>
    <w:rsid w:val="00C04F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google.com/maps/d/edit?mid=13PxwEItx146wef9Xsleosibs9CdL0MPo&amp;ll=35.49869449244712%2C-119.15349267488718&amp;z=12"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2</Pages>
  <Words>679</Words>
  <Characters>3874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Burwell</dc:creator>
  <cp:keywords/>
  <dc:description/>
  <cp:lastModifiedBy>Alan Burwell</cp:lastModifiedBy>
  <cp:revision>5</cp:revision>
  <dcterms:created xsi:type="dcterms:W3CDTF">2022-06-23T22:43:00Z</dcterms:created>
  <dcterms:modified xsi:type="dcterms:W3CDTF">2022-06-23T23:15:00Z</dcterms:modified>
</cp:coreProperties>
</file>